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C06E39">
      <w:pPr>
        <w:pStyle w:val="Title"/>
        <w:tabs>
          <w:tab w:val="left" w:pos="720"/>
        </w:tabs>
        <w:rPr>
          <w:b/>
          <w:sz w:val="24"/>
        </w:rPr>
      </w:pPr>
      <w:r w:rsidRPr="00132D51">
        <w:rPr>
          <w:b/>
          <w:sz w:val="24"/>
        </w:rPr>
        <w:t>Department Chair Meeting Minutes</w:t>
      </w:r>
    </w:p>
    <w:p w:rsidR="00C06E39" w:rsidRPr="00132D51" w:rsidRDefault="00C06E39" w:rsidP="00C06E39">
      <w:pPr>
        <w:tabs>
          <w:tab w:val="left" w:pos="720"/>
        </w:tabs>
        <w:jc w:val="center"/>
        <w:rPr>
          <w:b/>
        </w:rPr>
      </w:pPr>
      <w:r w:rsidRPr="00132D51">
        <w:rPr>
          <w:b/>
        </w:rPr>
        <w:t>College of Arts and Sciences</w:t>
      </w:r>
    </w:p>
    <w:p w:rsidR="00C06E39" w:rsidRPr="00132D51" w:rsidRDefault="00A10D49" w:rsidP="00C06E39">
      <w:pPr>
        <w:pStyle w:val="BodyText"/>
        <w:tabs>
          <w:tab w:val="left" w:pos="720"/>
        </w:tabs>
        <w:jc w:val="center"/>
        <w:rPr>
          <w:b/>
          <w:sz w:val="24"/>
        </w:rPr>
      </w:pPr>
      <w:r>
        <w:rPr>
          <w:b/>
          <w:sz w:val="24"/>
        </w:rPr>
        <w:t xml:space="preserve">October </w:t>
      </w:r>
      <w:r w:rsidR="00D21FB8">
        <w:rPr>
          <w:b/>
          <w:sz w:val="24"/>
        </w:rPr>
        <w:t>30</w:t>
      </w:r>
      <w:r w:rsidR="00C06E39">
        <w:rPr>
          <w:b/>
          <w:sz w:val="24"/>
        </w:rPr>
        <w:t>, 2012</w:t>
      </w:r>
    </w:p>
    <w:p w:rsidR="00C06E39" w:rsidRPr="00132D51" w:rsidRDefault="00C06E39" w:rsidP="00C06E39">
      <w:pPr>
        <w:pStyle w:val="BodyText"/>
        <w:tabs>
          <w:tab w:val="left" w:pos="720"/>
        </w:tabs>
        <w:rPr>
          <w:sz w:val="24"/>
        </w:rPr>
      </w:pPr>
    </w:p>
    <w:p w:rsidR="00C06E39" w:rsidRDefault="00C06E39" w:rsidP="00C06E39">
      <w:pPr>
        <w:tabs>
          <w:tab w:val="left" w:pos="720"/>
        </w:tabs>
      </w:pPr>
      <w:r w:rsidRPr="00132D51">
        <w:t xml:space="preserve">The meeting was called to order at </w:t>
      </w:r>
      <w:r>
        <w:t>8:0</w:t>
      </w:r>
      <w:r w:rsidR="00D21FB8">
        <w:t>0</w:t>
      </w:r>
      <w:r w:rsidRPr="00132D51">
        <w:t xml:space="preserve"> </w:t>
      </w:r>
      <w:r>
        <w:t>a</w:t>
      </w:r>
      <w:r w:rsidRPr="00132D51">
        <w:t xml:space="preserve">.m. on </w:t>
      </w:r>
      <w:r>
        <w:t>Tue</w:t>
      </w:r>
      <w:r w:rsidRPr="00132D51">
        <w:t xml:space="preserve">sday, </w:t>
      </w:r>
      <w:r w:rsidR="00A10D49">
        <w:t xml:space="preserve">October </w:t>
      </w:r>
      <w:r w:rsidR="00D21FB8">
        <w:t>30</w:t>
      </w:r>
      <w:r w:rsidRPr="00132D51">
        <w:t>, 201</w:t>
      </w:r>
      <w:r>
        <w:t>2</w:t>
      </w:r>
      <w:r w:rsidRPr="00132D51">
        <w:t xml:space="preserve">.  Dr. Vagn K. Hansen, Dean of the College of Arts and Sciences, presided.  Department Chairs present:  Ms. Chiong-Yiao Chen, Dr. Paul Kittle, Dr. </w:t>
      </w:r>
      <w:r>
        <w:t xml:space="preserve">Brent Olive, Dr. Gregory Pitts, </w:t>
      </w:r>
      <w:r w:rsidR="00A10D49">
        <w:t>Mr.</w:t>
      </w:r>
      <w:r>
        <w:t xml:space="preserve"> Wayne Bergeron, Dr. Larry Adams</w:t>
      </w:r>
      <w:r w:rsidRPr="00132D51">
        <w:t xml:space="preserve">, </w:t>
      </w:r>
      <w:r>
        <w:t>Dr. Claudia Vance, Dr. Francis Koti</w:t>
      </w:r>
      <w:r w:rsidRPr="00132D51">
        <w:t>, Dr. Chris</w:t>
      </w:r>
      <w:r>
        <w:t xml:space="preserve">topher Maynard, Dr. Cindy Stenger, 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Pr="00132D51">
        <w:t xml:space="preserve">  </w:t>
      </w:r>
      <w:r>
        <w:t>Debbie Tubbs took the minutes.</w:t>
      </w:r>
    </w:p>
    <w:p w:rsidR="00C06E39" w:rsidRPr="00BA5067" w:rsidRDefault="00C06E39" w:rsidP="00C06E39">
      <w:pPr>
        <w:tabs>
          <w:tab w:val="left" w:pos="720"/>
        </w:tabs>
        <w:rPr>
          <w:sz w:val="16"/>
          <w:szCs w:val="16"/>
        </w:rPr>
      </w:pPr>
    </w:p>
    <w:p w:rsidR="003529F8" w:rsidRDefault="003D116A" w:rsidP="00C117FA">
      <w:pPr>
        <w:tabs>
          <w:tab w:val="left" w:pos="450"/>
        </w:tabs>
        <w:ind w:left="450" w:hanging="450"/>
      </w:pPr>
      <w:r>
        <w:t>1</w:t>
      </w:r>
      <w:r w:rsidR="00E91A05">
        <w:t>.</w:t>
      </w:r>
      <w:r w:rsidR="00E91A05">
        <w:tab/>
      </w:r>
      <w:r w:rsidR="00321168">
        <w:t xml:space="preserve">Approval of </w:t>
      </w:r>
      <w:r w:rsidR="003529F8">
        <w:t>Minutes from</w:t>
      </w:r>
      <w:r w:rsidR="00FA0613">
        <w:t xml:space="preserve"> </w:t>
      </w:r>
      <w:r w:rsidR="003C0F7C">
        <w:t xml:space="preserve">October </w:t>
      </w:r>
      <w:r w:rsidR="00D21FB8">
        <w:t>16</w:t>
      </w:r>
      <w:r w:rsidR="0098318C">
        <w:t>, 2012</w:t>
      </w:r>
      <w:r w:rsidR="00C06E39">
        <w:t xml:space="preserve">.  </w:t>
      </w:r>
      <w:r w:rsidR="00D21FB8">
        <w:t>T</w:t>
      </w:r>
      <w:r w:rsidR="00C06E39">
        <w:t>he minutes were approved by consensus.</w:t>
      </w:r>
    </w:p>
    <w:p w:rsidR="003C0F7C" w:rsidRPr="00BA5067" w:rsidRDefault="003C0F7C" w:rsidP="00BA5067">
      <w:pPr>
        <w:tabs>
          <w:tab w:val="left" w:pos="720"/>
        </w:tabs>
        <w:rPr>
          <w:sz w:val="16"/>
          <w:szCs w:val="16"/>
        </w:rPr>
      </w:pPr>
    </w:p>
    <w:p w:rsidR="00D21FB8" w:rsidRDefault="003C0F7C" w:rsidP="00D21FB8">
      <w:pPr>
        <w:tabs>
          <w:tab w:val="left" w:pos="450"/>
        </w:tabs>
        <w:ind w:left="450" w:hanging="450"/>
      </w:pPr>
      <w:r>
        <w:t>2.</w:t>
      </w:r>
      <w:r>
        <w:tab/>
      </w:r>
      <w:r w:rsidR="00D21FB8">
        <w:t>Curriculum Change Proposals from the Department of Psychology.  Dr. Hudiburg made a motion to accept the two proposals and the motion was seconded, opened for discussion and adopted.</w:t>
      </w:r>
    </w:p>
    <w:p w:rsidR="00D21FB8" w:rsidRDefault="00D21FB8" w:rsidP="00D21FB8">
      <w:pPr>
        <w:tabs>
          <w:tab w:val="left" w:pos="450"/>
        </w:tabs>
        <w:ind w:left="450" w:hanging="450"/>
      </w:pPr>
      <w:r>
        <w:tab/>
        <w:t xml:space="preserve">-Revised prerequisites for PY 465W to now include </w:t>
      </w:r>
      <w:r w:rsidRPr="00B4371C">
        <w:rPr>
          <w:color w:val="FF0000"/>
        </w:rPr>
        <w:t>MA 110 or MA 112 or higher numbered course above MA 112,</w:t>
      </w:r>
      <w:r>
        <w:t xml:space="preserve"> PY 222, </w:t>
      </w:r>
      <w:proofErr w:type="gramStart"/>
      <w:r>
        <w:t>PY</w:t>
      </w:r>
      <w:proofErr w:type="gramEnd"/>
      <w:r>
        <w:t xml:space="preserve"> 375</w:t>
      </w:r>
    </w:p>
    <w:p w:rsidR="00431656" w:rsidRDefault="00D21FB8" w:rsidP="00D21FB8">
      <w:pPr>
        <w:tabs>
          <w:tab w:val="left" w:pos="450"/>
        </w:tabs>
        <w:ind w:left="450" w:hanging="450"/>
      </w:pPr>
      <w:r>
        <w:tab/>
        <w:t xml:space="preserve">-Revised Major in Psychology for Area III *Mathematics </w:t>
      </w:r>
      <w:r w:rsidRPr="00D21FB8">
        <w:rPr>
          <w:color w:val="FF0000"/>
        </w:rPr>
        <w:t xml:space="preserve">110 or </w:t>
      </w:r>
      <w:r>
        <w:t xml:space="preserve">112 </w:t>
      </w:r>
      <w:r w:rsidRPr="00D21FB8">
        <w:rPr>
          <w:color w:val="FF0000"/>
        </w:rPr>
        <w:t>or 1</w:t>
      </w:r>
      <w:r>
        <w:rPr>
          <w:color w:val="FF0000"/>
        </w:rPr>
        <w:t>1</w:t>
      </w:r>
      <w:r w:rsidRPr="00D21FB8">
        <w:rPr>
          <w:color w:val="FF0000"/>
        </w:rPr>
        <w:t>3</w:t>
      </w:r>
      <w:r>
        <w:t xml:space="preserve"> or 115 or 125 (3-4)</w:t>
      </w:r>
    </w:p>
    <w:p w:rsidR="00D21FB8" w:rsidRPr="00BA5067" w:rsidRDefault="00D21FB8" w:rsidP="00D21FB8">
      <w:pPr>
        <w:tabs>
          <w:tab w:val="left" w:pos="450"/>
        </w:tabs>
        <w:ind w:left="450" w:hanging="450"/>
        <w:rPr>
          <w:sz w:val="16"/>
          <w:szCs w:val="16"/>
        </w:rPr>
      </w:pPr>
    </w:p>
    <w:p w:rsidR="00431656" w:rsidRDefault="00431656" w:rsidP="00C117FA">
      <w:pPr>
        <w:tabs>
          <w:tab w:val="left" w:pos="450"/>
        </w:tabs>
        <w:ind w:left="450" w:hanging="450"/>
      </w:pPr>
      <w:r>
        <w:t>3.</w:t>
      </w:r>
      <w:r>
        <w:tab/>
      </w:r>
      <w:r w:rsidR="00D21FB8">
        <w:t>CIP Codes.  Dr. Hansen discussed our college and CIP codes.  He</w:t>
      </w:r>
      <w:r w:rsidR="008F703C">
        <w:t xml:space="preserve"> said his preference in referring to programs is to refer to majors and that CIP codes identify majors.  There was discussion as to current problems noted in using CIP codes rather than words to identify both students’ majors and faculty degrees.  The discussion turned toward the desire to have students use Workflow to change their major with the hope that drop down menus would contain only majors, concentrations, options, and minors that we offer so less mistakes could be made.  It was suggested that the Workflow be set up in a similar way to the substitution request process so that programs that require admission or auditions could deny the major request if those admission/audition standards had not been met.  And that the Workflow send it to the appropriate place based on what the student was changing (major, minor, etc.).  It was noted that when a student changes or adds a minor, sometimes this places the student under a new catalog year</w:t>
      </w:r>
      <w:r w:rsidR="006B169E">
        <w:t xml:space="preserve"> and if this process involves department chairs and advisors, this could be a point of discussion.  Dr. Hansen said he would start the process and thanked the group for their ideas and discussion.</w:t>
      </w:r>
    </w:p>
    <w:p w:rsidR="00C52FB7" w:rsidRPr="00BA5067" w:rsidRDefault="00C52FB7" w:rsidP="00C52FB7">
      <w:pPr>
        <w:ind w:left="-990" w:firstLine="270"/>
        <w:rPr>
          <w:sz w:val="16"/>
          <w:szCs w:val="16"/>
        </w:rPr>
      </w:pPr>
    </w:p>
    <w:p w:rsidR="007F0E85" w:rsidRDefault="00431656" w:rsidP="00C117FA">
      <w:pPr>
        <w:tabs>
          <w:tab w:val="left" w:pos="450"/>
        </w:tabs>
        <w:ind w:left="450" w:hanging="450"/>
      </w:pPr>
      <w:r>
        <w:t>4</w:t>
      </w:r>
      <w:r w:rsidR="00C52FB7">
        <w:t>.</w:t>
      </w:r>
      <w:r w:rsidR="00C52FB7">
        <w:tab/>
      </w:r>
      <w:r w:rsidR="00814472">
        <w:t>Electronic Promotion Portfolio – Dr. Kittle.  Dr. Kittle stated he wanted to bring this discussion to the group to get thoughts on this topic.  He stated he had one candidate that had asked about it and did both a paper and an electronic portfolio.  There was discussion on the advantages for availability and there were concerns regarding privacy.  This led to discussion of the possibility of assigning a s</w:t>
      </w:r>
      <w:r w:rsidR="005B5099">
        <w:t>he</w:t>
      </w:r>
      <w:r w:rsidR="00814472">
        <w:t>ll course in Angel and giving access to appropriate department chairs, deans, committee members, VPs, etc.  It was suggested that the application/vita part be done electronically and the supplemental s</w:t>
      </w:r>
      <w:r w:rsidR="00830CE8">
        <w:t>ection be optional.  Discussion evolved from this group sending forward a resolution to a hopefully quicker way and Dr. Cindy Stenger agreed to take this proposal to the Faculty Senate</w:t>
      </w:r>
      <w:r w:rsidR="00B4371C">
        <w:t xml:space="preserve">.  </w:t>
      </w:r>
      <w:r w:rsidR="00830CE8">
        <w:t>Dr. Hansen encouraged each department chair to watch for this proposal to be brought before the Senate and to write a letter of support to the Faculty Senate President.</w:t>
      </w:r>
    </w:p>
    <w:p w:rsidR="00830CE8" w:rsidRDefault="00830CE8" w:rsidP="00C117FA">
      <w:pPr>
        <w:tabs>
          <w:tab w:val="left" w:pos="450"/>
        </w:tabs>
        <w:ind w:left="450" w:hanging="450"/>
      </w:pPr>
    </w:p>
    <w:p w:rsidR="00E05334" w:rsidRDefault="00431656" w:rsidP="00C117FA">
      <w:pPr>
        <w:tabs>
          <w:tab w:val="left" w:pos="450"/>
        </w:tabs>
        <w:ind w:left="450" w:hanging="450"/>
      </w:pPr>
      <w:r>
        <w:lastRenderedPageBreak/>
        <w:t>5</w:t>
      </w:r>
      <w:r w:rsidR="0098318C">
        <w:t>.</w:t>
      </w:r>
      <w:r w:rsidR="0098318C">
        <w:tab/>
      </w:r>
      <w:r w:rsidR="00E05334" w:rsidRPr="00E05334">
        <w:t>Report from COADEA</w:t>
      </w:r>
      <w:r w:rsidR="00E05334">
        <w:t xml:space="preserve">.  Renee’ met with </w:t>
      </w:r>
      <w:r w:rsidR="00FD6AA9">
        <w:t xml:space="preserve">the </w:t>
      </w:r>
      <w:r w:rsidR="00E05334">
        <w:t>Executive Assistants and Debbie reported on the following items:</w:t>
      </w:r>
    </w:p>
    <w:p w:rsidR="00E05334" w:rsidRDefault="00E05334" w:rsidP="00E05334">
      <w:pPr>
        <w:tabs>
          <w:tab w:val="left" w:pos="450"/>
        </w:tabs>
        <w:ind w:left="450" w:hanging="450"/>
      </w:pPr>
      <w:r>
        <w:tab/>
        <w:t>-PAF will be updated prior to spring 2013 and large class compensation will be added as a payment type to Section 4.  The pay for large class compensation will probably move to two payments (November and December paychecks for fall and April and May paychecks for spring)</w:t>
      </w:r>
      <w:r w:rsidR="00FD6AA9">
        <w:t xml:space="preserve"> (for summer, it will be the faculty’s last paycheck – depending on their teaching assignments)</w:t>
      </w:r>
      <w:r>
        <w:t>.</w:t>
      </w:r>
    </w:p>
    <w:p w:rsidR="00E05334" w:rsidRDefault="00E05334" w:rsidP="00E05334">
      <w:pPr>
        <w:tabs>
          <w:tab w:val="left" w:pos="450"/>
        </w:tabs>
        <w:ind w:left="450" w:hanging="450"/>
      </w:pPr>
      <w:r>
        <w:tab/>
        <w:t xml:space="preserve">-PAF amounts less than $300 will be paid for fall on December 1 and spring on May 1 [summer </w:t>
      </w:r>
      <w:r w:rsidR="00FD6AA9">
        <w:t>it will be the faculty’s last paycheck – depending on their teaching assignments).</w:t>
      </w:r>
    </w:p>
    <w:p w:rsidR="00E05334" w:rsidRDefault="00E05334" w:rsidP="00E05334">
      <w:pPr>
        <w:tabs>
          <w:tab w:val="left" w:pos="450"/>
        </w:tabs>
        <w:ind w:left="450" w:hanging="450"/>
      </w:pPr>
      <w:r>
        <w:tab/>
        <w:t>-The deadline for submission of PAFs for payroll purposes is the 15</w:t>
      </w:r>
      <w:r w:rsidRPr="00E05334">
        <w:rPr>
          <w:vertAlign w:val="superscript"/>
        </w:rPr>
        <w:t>th</w:t>
      </w:r>
      <w:r>
        <w:t xml:space="preserve"> of the month</w:t>
      </w:r>
      <w:r w:rsidR="00FD6AA9">
        <w:t xml:space="preserve"> – anything after the 15</w:t>
      </w:r>
      <w:r w:rsidR="00FD6AA9" w:rsidRPr="00FD6AA9">
        <w:rPr>
          <w:vertAlign w:val="superscript"/>
        </w:rPr>
        <w:t>th</w:t>
      </w:r>
      <w:r w:rsidR="00FD6AA9">
        <w:t xml:space="preserve"> will be delayed until the next payroll.</w:t>
      </w:r>
    </w:p>
    <w:p w:rsidR="00FD6AA9" w:rsidRDefault="00FD6AA9" w:rsidP="00E05334">
      <w:pPr>
        <w:tabs>
          <w:tab w:val="left" w:pos="450"/>
        </w:tabs>
        <w:ind w:left="450" w:hanging="450"/>
      </w:pPr>
    </w:p>
    <w:p w:rsidR="00FD6AA9" w:rsidRDefault="00FD6AA9" w:rsidP="00E05334">
      <w:pPr>
        <w:tabs>
          <w:tab w:val="left" w:pos="450"/>
        </w:tabs>
        <w:ind w:left="450" w:hanging="450"/>
        <w:sectPr w:rsidR="00FD6AA9" w:rsidSect="00412B44">
          <w:pgSz w:w="12240" w:h="15840"/>
          <w:pgMar w:top="1440" w:right="1440" w:bottom="1440" w:left="1440" w:header="720" w:footer="720" w:gutter="0"/>
          <w:cols w:space="720"/>
          <w:docGrid w:linePitch="360"/>
        </w:sectPr>
      </w:pPr>
      <w:r>
        <w:tab/>
        <w:t>Discussion on the topics above led to a request from the department chairs.  The</w:t>
      </w:r>
      <w:r w:rsidR="00127712">
        <w:t xml:space="preserve"> group asked that Dr. Hansen petition the VPAA’s office to add administrative assistants to their distribution list.</w:t>
      </w:r>
    </w:p>
    <w:p w:rsidR="00431656" w:rsidRDefault="00C117FA" w:rsidP="00E05334">
      <w:pPr>
        <w:tabs>
          <w:tab w:val="left" w:pos="450"/>
        </w:tabs>
        <w:ind w:left="450" w:hanging="450"/>
      </w:pPr>
      <w:r>
        <w:lastRenderedPageBreak/>
        <w:tab/>
      </w:r>
    </w:p>
    <w:p w:rsidR="0001040E" w:rsidRPr="0001040E" w:rsidRDefault="0001040E" w:rsidP="00C117FA">
      <w:pPr>
        <w:tabs>
          <w:tab w:val="left" w:pos="450"/>
        </w:tabs>
        <w:ind w:left="450" w:hanging="450"/>
      </w:pPr>
      <w:r>
        <w:t>6.</w:t>
      </w:r>
      <w:r>
        <w:tab/>
      </w:r>
      <w:r w:rsidR="00127712">
        <w:t>Report from COAD.  The following topics were among those discussed at the October 29 meeting:</w:t>
      </w:r>
    </w:p>
    <w:p w:rsidR="00127712" w:rsidRDefault="00C117FA" w:rsidP="00127712">
      <w:pPr>
        <w:tabs>
          <w:tab w:val="left" w:pos="450"/>
        </w:tabs>
        <w:ind w:left="450" w:hanging="450"/>
      </w:pPr>
      <w:r>
        <w:tab/>
      </w:r>
      <w:r w:rsidR="00127712">
        <w:t>-Daniel Hendricks, VPUA, was introduced and briefly discussed his vision for including departments in his plan for University Advancement. [Discussion among the department chairs included the desire for campaigns aimed at research and graduate assistantships]</w:t>
      </w:r>
    </w:p>
    <w:p w:rsidR="00D527D7" w:rsidRDefault="00127712" w:rsidP="00127712">
      <w:pPr>
        <w:tabs>
          <w:tab w:val="left" w:pos="450"/>
        </w:tabs>
        <w:ind w:left="450" w:hanging="450"/>
      </w:pPr>
      <w:r>
        <w:tab/>
        <w:t xml:space="preserve">-Transient Enrollment Policy.  Dr. Hansen </w:t>
      </w:r>
      <w:r w:rsidR="00A61736">
        <w:t xml:space="preserve">reminded the department chairs that a new policy was adopted last year that didn’t explicitly require approval from the advisor and a new policy is being considered by the Faculty Senate.  The new proposal would explicitly require advisor approval and there is the intent to incorporate this transient approval into the Workflow process.  There </w:t>
      </w:r>
      <w:r w:rsidR="00F403EC">
        <w:t>wa</w:t>
      </w:r>
      <w:r w:rsidR="00A61736">
        <w:t xml:space="preserve">s concern </w:t>
      </w:r>
      <w:r w:rsidR="00F403EC">
        <w:t xml:space="preserve">expressed </w:t>
      </w:r>
      <w:r w:rsidR="00A61736">
        <w:t>that</w:t>
      </w:r>
      <w:r w:rsidR="00B4371C">
        <w:t xml:space="preserve"> students will be frustrated in-</w:t>
      </w:r>
      <w:r w:rsidR="00A61736">
        <w:t>between semesters when faculty members are not on campus and there is no one to approve the transient approval</w:t>
      </w:r>
      <w:r w:rsidR="00F403EC">
        <w:t xml:space="preserve"> and </w:t>
      </w:r>
      <w:r w:rsidR="00A61736">
        <w:t>that requiring advisors approval might not be the best idea</w:t>
      </w:r>
      <w:r w:rsidR="00B4371C">
        <w:t xml:space="preserve">.  </w:t>
      </w:r>
      <w:bookmarkStart w:id="0" w:name="_GoBack"/>
      <w:bookmarkEnd w:id="0"/>
      <w:r w:rsidR="00A61736">
        <w:t>Dr. Hansen suggested that each department’s representative know that this topic will be discussed at a future Faculty Senate meeting and to make sure your department’s view is made known.</w:t>
      </w:r>
    </w:p>
    <w:p w:rsidR="00D527D7" w:rsidRPr="00BA5067" w:rsidRDefault="00D527D7" w:rsidP="00704510">
      <w:pPr>
        <w:ind w:left="720" w:hanging="720"/>
        <w:rPr>
          <w:sz w:val="16"/>
          <w:szCs w:val="16"/>
        </w:rPr>
      </w:pPr>
    </w:p>
    <w:p w:rsidR="00BA5067" w:rsidRPr="00BA5067" w:rsidRDefault="00BA5067" w:rsidP="00C117FA">
      <w:pPr>
        <w:tabs>
          <w:tab w:val="left" w:pos="450"/>
        </w:tabs>
        <w:ind w:left="450" w:hanging="450"/>
        <w:rPr>
          <w:sz w:val="16"/>
          <w:szCs w:val="16"/>
        </w:rPr>
      </w:pPr>
    </w:p>
    <w:p w:rsidR="007F081F" w:rsidRDefault="00D527D7" w:rsidP="00C117FA">
      <w:pPr>
        <w:tabs>
          <w:tab w:val="left" w:pos="450"/>
        </w:tabs>
        <w:ind w:left="450" w:hanging="450"/>
      </w:pPr>
      <w:r>
        <w:t>Meeting adjourned:  9:</w:t>
      </w:r>
      <w:r w:rsidR="00A61736">
        <w:t>27</w:t>
      </w:r>
      <w:r>
        <w:t xml:space="preserve"> a.m. </w:t>
      </w:r>
    </w:p>
    <w:sectPr w:rsidR="007F081F" w:rsidSect="00412B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706EC"/>
    <w:rsid w:val="00076475"/>
    <w:rsid w:val="000B7484"/>
    <w:rsid w:val="000C3D87"/>
    <w:rsid w:val="00116CB3"/>
    <w:rsid w:val="00127712"/>
    <w:rsid w:val="00141BE5"/>
    <w:rsid w:val="00182BFC"/>
    <w:rsid w:val="00190535"/>
    <w:rsid w:val="001A53BF"/>
    <w:rsid w:val="001F32FF"/>
    <w:rsid w:val="00207208"/>
    <w:rsid w:val="0025284E"/>
    <w:rsid w:val="00252A7E"/>
    <w:rsid w:val="002550F8"/>
    <w:rsid w:val="00262B20"/>
    <w:rsid w:val="00290018"/>
    <w:rsid w:val="002901C8"/>
    <w:rsid w:val="002A45DF"/>
    <w:rsid w:val="00310D67"/>
    <w:rsid w:val="00321168"/>
    <w:rsid w:val="00321D69"/>
    <w:rsid w:val="003529F8"/>
    <w:rsid w:val="00382158"/>
    <w:rsid w:val="003A0654"/>
    <w:rsid w:val="003C0F7C"/>
    <w:rsid w:val="003D116A"/>
    <w:rsid w:val="004041E9"/>
    <w:rsid w:val="00412B44"/>
    <w:rsid w:val="00431656"/>
    <w:rsid w:val="00465410"/>
    <w:rsid w:val="00470171"/>
    <w:rsid w:val="005010C0"/>
    <w:rsid w:val="005140A0"/>
    <w:rsid w:val="00517F24"/>
    <w:rsid w:val="00536B1B"/>
    <w:rsid w:val="0053751E"/>
    <w:rsid w:val="00557CB5"/>
    <w:rsid w:val="0058225D"/>
    <w:rsid w:val="005B5099"/>
    <w:rsid w:val="005D6DC7"/>
    <w:rsid w:val="005E018B"/>
    <w:rsid w:val="005E4AC5"/>
    <w:rsid w:val="005E71AD"/>
    <w:rsid w:val="006022C0"/>
    <w:rsid w:val="0060427D"/>
    <w:rsid w:val="0063702D"/>
    <w:rsid w:val="00651FD4"/>
    <w:rsid w:val="00661B0E"/>
    <w:rsid w:val="0067272E"/>
    <w:rsid w:val="00680094"/>
    <w:rsid w:val="00695A11"/>
    <w:rsid w:val="006A18A9"/>
    <w:rsid w:val="006B169E"/>
    <w:rsid w:val="006D3D61"/>
    <w:rsid w:val="00704510"/>
    <w:rsid w:val="00732C3C"/>
    <w:rsid w:val="007A318E"/>
    <w:rsid w:val="007A3783"/>
    <w:rsid w:val="007F081F"/>
    <w:rsid w:val="007F0E85"/>
    <w:rsid w:val="007F2647"/>
    <w:rsid w:val="007F5E5E"/>
    <w:rsid w:val="007F7A28"/>
    <w:rsid w:val="00814472"/>
    <w:rsid w:val="00822913"/>
    <w:rsid w:val="00830CE8"/>
    <w:rsid w:val="00862ED5"/>
    <w:rsid w:val="00870BCA"/>
    <w:rsid w:val="008843D7"/>
    <w:rsid w:val="008B3060"/>
    <w:rsid w:val="008F6017"/>
    <w:rsid w:val="008F703C"/>
    <w:rsid w:val="00904449"/>
    <w:rsid w:val="00932CFB"/>
    <w:rsid w:val="00966F95"/>
    <w:rsid w:val="0098318C"/>
    <w:rsid w:val="009C3E17"/>
    <w:rsid w:val="00A10D49"/>
    <w:rsid w:val="00A61736"/>
    <w:rsid w:val="00A6785C"/>
    <w:rsid w:val="00AB03B6"/>
    <w:rsid w:val="00AC18E0"/>
    <w:rsid w:val="00B3296D"/>
    <w:rsid w:val="00B4371C"/>
    <w:rsid w:val="00B643DA"/>
    <w:rsid w:val="00B74E5B"/>
    <w:rsid w:val="00BA5067"/>
    <w:rsid w:val="00BF1FB2"/>
    <w:rsid w:val="00C06E39"/>
    <w:rsid w:val="00C117FA"/>
    <w:rsid w:val="00C12E4F"/>
    <w:rsid w:val="00C212D1"/>
    <w:rsid w:val="00C334A8"/>
    <w:rsid w:val="00C52FB7"/>
    <w:rsid w:val="00C551C1"/>
    <w:rsid w:val="00C64BEF"/>
    <w:rsid w:val="00CB4FDC"/>
    <w:rsid w:val="00CB6106"/>
    <w:rsid w:val="00CF7BBB"/>
    <w:rsid w:val="00D21FB8"/>
    <w:rsid w:val="00D37E38"/>
    <w:rsid w:val="00D527D7"/>
    <w:rsid w:val="00DA74FE"/>
    <w:rsid w:val="00DB0324"/>
    <w:rsid w:val="00DB0D3A"/>
    <w:rsid w:val="00DB3496"/>
    <w:rsid w:val="00DC2FC4"/>
    <w:rsid w:val="00DD21CE"/>
    <w:rsid w:val="00E05334"/>
    <w:rsid w:val="00E14DE1"/>
    <w:rsid w:val="00E44157"/>
    <w:rsid w:val="00E45B2D"/>
    <w:rsid w:val="00E7694C"/>
    <w:rsid w:val="00E91A05"/>
    <w:rsid w:val="00E92537"/>
    <w:rsid w:val="00EB327B"/>
    <w:rsid w:val="00EB3A8A"/>
    <w:rsid w:val="00F12502"/>
    <w:rsid w:val="00F403EC"/>
    <w:rsid w:val="00FA0613"/>
    <w:rsid w:val="00FA7AE3"/>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2378-B731-4CF3-BB12-79CF8747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6</cp:revision>
  <cp:lastPrinted>2012-10-30T17:44:00Z</cp:lastPrinted>
  <dcterms:created xsi:type="dcterms:W3CDTF">2012-10-30T14:41:00Z</dcterms:created>
  <dcterms:modified xsi:type="dcterms:W3CDTF">2012-10-31T17:28:00Z</dcterms:modified>
</cp:coreProperties>
</file>